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146</w:t>
      </w:r>
    </w:p>
    <w:p>
      <w:r>
        <w:t>Bundesgericht (BGE), 2002-01-30, DE</w:t>
      </w:r>
    </w:p>
    <w:p>
      <w:r>
        <w:rPr>
          <w:b/>
        </w:rPr>
        <w:t xml:space="preserve">Quelle: </w:t>
      </w:r>
      <w:r>
        <w:t>https://mcp.opencaselaw.ch/entscheid/bge_128 III 146</w:t>
      </w:r>
    </w:p>
    <w:p>
      <w:r>
        <w:t>FR: ATF 128 III 146</w:t>
      </w:r>
    </w:p>
    <w:p>
      <w:r>
        <w:t>IT: DTF 128 III 146</w:t>
      </w:r>
    </w:p>
    <w:p>
      <w:pPr>
        <w:pStyle w:val="Heading2"/>
      </w:pPr>
      <w:r>
        <w:t>Regeste</w:t>
      </w:r>
    </w:p>
    <w:p>
      <w:r>
        <w:t>Regeste Art. 3 Abs. 1 und Art. 13 Abs. 2 lit. e MSchG, Art. 3 lit. d UWG. Gebrauch einer fremden Marke durch einen "nicht autorisierten" Händler bzw. Dienstleister in der Werbung für seine eigenen Angebote von Original-Markenprodukten und von Dienstleistungen an solchen. Der Gebrauch einer Drittmarke in der Werbung, insbesondere in einer Leuchtreklame eines Garagebetriebs, verletzt die Schutzrechte des Markeninhabers nicht, solange er klar auf die eigenen Angebote bzw. Leistungen des Werbenden bezogen bleibt. Die Befugnis zur Verwendung der Drittmarke findet ihre Grenze dort, wo beim Publikum der falsche (Gesamt)Eindruck einer besonderen Beziehung zwischen dem Werbenden und dem Markeninhaber oder einer Berechtigung des Werbenden an der Marke als solcher erweckt wird. Aus dem UWG und dem Firmenrecht ergeben sich keine weitergehenden Schutzansprüche zugunsten des Markeninhabers (E. 2).</w:t>
      </w:r>
    </w:p>
    <w:p>
      <w:pPr>
        <w:pStyle w:val="Heading2"/>
      </w:pPr>
      <w:r>
        <w:t>Erwägungen</w:t>
      </w:r>
    </w:p>
    <w:p>
      <w:r>
        <w:rPr>
          <w:b/>
        </w:rPr>
        <w:t>E. 2</w:t>
      </w:r>
    </w:p>
    <w:p>
      <w:r>
        <w:t>Die Klägerinnen rügen, die Vorinstanz habe eine Verletzung ihrer Markenrechte sowie ein unlauteres Verhalten der Beklagten zu Unrecht verneint. Sie berufen sich auf Art. 3 des Bundesgesetzes vom 28. August 1992 über den Schutz von Marken und Herkunftsangaben (Markenschutzgesetz, MSchG; SR 232.11), auf Art. 3 lit. d des Bundesgesetzes vom 19. Dezember 1986 über den unlauteren Wettbewerb (UWG; SR 241) sowie insbesondere auf Art. 13 Abs. 2 lit. e MSchG . a) 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(unmittelbar) für jene halten, die mit den besser berechtigten Zeichen individualisiert werden. Ferner BGE 128 III 146 S. 149 können die schlechter berechtigten Zeichen eine mittelbare Verwechslungsgefahr schaffen, indem die Adressaten die Zeichen zwar auseinander zu halten vermögen, aber falsche Zusammenhänge vermuten ( BGE 127 III 160 E. 2a S. 165 f.). Eine Verwechslungsgefahr und damit auch eine Verletzung des Prioritätsrechts gemäss Art. 3 MSchG entfällt dagegen, wenn Kennzeichen der Individualisierung von Waren oder Dienstleistungen dienen, die vom Markenberechtigten oder mit seinem Einverständnis in Verkehr gebracht worden sind. Soweit die Kennzeichen Originalprodukte individualisieren, entfällt die Gefahr von Fehlzurechnungen von vornherein. Da die Beklagte im vorliegenden Fall unbestritten Waren zum Verkauf anbietet und für Reparaturen an Fahrzeugen wirbt, die mit dem Einverständnis der Klägerinnen als Originalmarkenprodukte in Verkehr gesetzt worden sind, besteht insofern keine Gefahr von Verwechslungen. Der Streit der Parteien dreht sich vielmehr um den Gebrauch der klägerischen Marken im Zusammenhang mit der Werbung für die eigene Geschäftstätigkeit der Beklagten, namentlich um die Leuchtreklame und die Anpreisung der Beklagten als "Spezialist". b) Nach Art. 13 Abs. 2 lit. e MSchG kann der Markeninhaber anderen verbieten, ein Zeichen zu gebrauchen, das nach Artikel 3 Abs. 1 vom Markenschutz ausgeschlossen ist, so insbesondere das Zeichen auf Geschäftspapieren, in der Werbung oder sonstwie im geschäftlichen Verkehr zu gebrauchen. aa) Verwendet ein Geschäftsinhaber die fremde Marke für sein Angebot an Original-Markenartikeln oder zur Werbung für Reparatur- und Servicearbeiten, die Originalmarkenartikel zum Gegenstand haben, so verletzt er das Markenrecht nicht, wenn seine Werbung sich deutlich auf seine eigenen Angebote bezieht. Angaben zur Beschreibung eigener Warenangebote oder Dienstleistungen darf vielmehr jedermann verwenden, auch wenn davon Marken Dritter berührt werden ( BGE 126 III 322 E. 3b S. 325 mit Hinweis; vgl. auch Urteil 4C.354/1999 vom 12. Januar 2000, publ. in: sic! 4/2000 S. 310 ff. als "Chanel IV", E. 2a und b). Diesen Grundsatz stellen die Klägerinnen zwar nicht ausdrücklich in Frage. Sie machen auch zu Recht nicht geltend, der Beklagten könne verwehrt werden, ihre Reparatur- und Serviceleistungen speziell für Fahrzeuge der klägerischen Marken zu erbringen und auch ihre Wiederverkaufstätigkeit besonders auf Gebrauchtwagen der klägerischen Marken auszurichten. Sie sehen indessen im Schutz des Werbeauftritts der Beklagten durch die Vorinstanz einen Widerspruch zum klaren BGE 128 III 146 S. 150 Wortlaut von Art. 13 Abs. 2 lit. e MSchG und vertreten die Ansicht, es werde damit eine neue Schranke des Markenrechts und eine Art unentgeltlicher Zwangslizenz eingeführt. bb) Die Marke dient der Individualisierung der Produkte eines Unternehmens und deren Abgrenzung gegenüber Konkurrenzprodukten. Allfällige weitere wirtschaftliche Funktionen wie Werbung, Profilierung oder Kommunikation der Markeninhaber im Wettbewerb geniessen keinen selbständigen Schutz ( BGE 122 III 469 E. 5f S. 479; Botschaft des Bundesrates vom 21. November 1990 zu einem Bundesgesetz über den Schutz von Marken und Herkunftsangaben, BBl 1991 I 19; MARBACH, Schweizerisches Immaterialgüter- und Wettbewerbsrecht, Bd. III, Kennzeichenrecht, S. 5 f.; vgl. auch DAVID, Basler Kommentar, Markenschutzgesetz, Muster- und Modellgesetz, 2. Aufl., N. 7 zu Art. 1 MSchG ). Die Markeninhaber können den Weiterverkäufern oder Dienstleistern ihrer Markenprodukte daher weder vorschreiben, wie sie mit diesen umzugehen haben noch welche Werbemassnahmen sie treffen dürfen (Urteil 4C.354/1999 vom 12. Januar 2000 ["Chanel IV"], a.a.O., E. 2b; MARBACH, a.a.O., S. 202; DAVID, a.a.O., N. 16 zu Art. 13 MSchG ). Allerdings bleibt den Markenberechtigten die allgemeine Bewerbung der Marke, die ohne Bezug auf ein bestimmtes Warensortiment oder konkrete Dienstleistungen dem Ansehen und dem Ruf der Marke beim Publikum im Allgemeinen gilt, vorbehalten ( BGE 126 III 322 E. 3a; Urteil 4C.354/1999 vom 12. Januar 2000 ["Chanel IV"], a.a.O., E. 2b; DAVID, a.a.O., N. 7 zu Art. 1, N. 23 zu Art. 13). Auch findet die Werbung mit einer Drittmarke ihre Grenze dort, wo beim Publikum der unzutreffende Eindruck einer besonderen Beziehung des mit der Marke werbenden Anbieters zum Markeninhaber erweckt wird. Eine derartige Täuschung der Adressaten ist unbesehen darum rechtswidrig, ob darin eine Berühmung an (der Nutzungsberechtigung) der Marke und damit ein Verstoss gegen den Markenschutz zu sehen wäre oder auch unter dem geltenden MSchG ein unlauteres Verhalten und damit ein Verstoss gegen das UWG vorliegt (vgl. BGE 104 II 58 E. 4 S. 60 f.; Urteil 4C.354/1999 vom 12. Januar 2000 ["Chanel IV"], a.a.O., E. 2c; DAVID, a.a.O., Vorbem. zum 1. Titel N. 3). cc) Die Vorinstanz hat diese Grundsätze bundesrechtskonform angewendet, indem sie davon ausging, dass der Gebrauch einer Drittmarke in der Werbung jedenfalls rechtmässig ist, solange er klar auf die eigenen Leistungen bezogen bleibt und das Publikum nicht über die Verhältnisse des Werbenden zum Markeninhaber getäuscht BGE 128 III 146 S. 151 wird. Diese Abwägung der Interessen der Markenrechtsinhaber einerseits und nicht am Kennzeichen berechtigter Wettbewerber mit Originalmarkenprodukten anderseits entspricht im Ergebnis derjenigen des Europäischen Gerichtshofs in Auslegung des einschlägigen Rechts der EU (vgl. dessen Urteil vom 23. Februar 1999 i.S. BMW c. Deenik, Rs. C-63/97, auszugsweise publ. in: sic! 2/1999 S. 183). c) Ob die Adressaten bestimmte Anpreisungen auf die konkrete Geschäftstätigkeit für mit Drittmarken gekennzeichnete Originalprodukte beziehen oder ob sie diese der Marke als solcher bzw. dem Markeninhaber zurechnen, beurteilt sich nach dem Gesamteindruck, den sie beim Publikum erwecken (Urteil 4C.354/1999 vom 12. Januar 2000 ["Chanel IV"], a.a.O., E. 2d). Die Vorinstanz hat in dieser Hinsicht zutreffend geprüft, wie das Publikum die Werbung der Beklagten versteht. aa) Die umstrittene Leuchtreklame ist nach den Feststellungen der Vorinstanz augenfällig auf dem Dach des Garagenbetriebs der Beklagten montiert und hat die Form eines hochgestellten Rechtecks. Auf dem hellen Hintergrund der Reklamefläche sind drei gleich grosse, farbige, abgerundete Rechtecke parallel übereinander angeordnet. Das obere Rechteck ist dunkelblau gehalten und trägt in gleicher Farbe weissumrandet das Zeichen "VW", das mittlere Rechteck ist rot und enthält in gleichfarbiger, weissumrandeter Schrift das Zeichen "Audi" und das untere Rechteck ist hellblau und trägt den gelben Schriftzug "Spezialist". Die Klägerinnen beanstanden insofern die Sachverhaltsfeststellungen der Vorinstanz nicht. bb) Die Beklagte bietet ihre Dienste besonders für Fahrzeuge der klägerischen Marken an, weshalb ihr erlaubt sein muss, zu diesem Zweck die klägerischen Zeichen zu gebrauchen. Die Vorinstanz hat festgestellt, dass das Anbringen einer Leuchtreklame auf dem Garagendach dem branchenüblichen Werbeverhalten entspricht und von den Adressaten als Hinweis auf den Garagenbetrieb und dessen Leistungen - nicht darüber hinaus als Bewerbung der Marken - verstanden wird, zumal die Beklagte das Logo der klägerischen Zeichen nicht gebraucht. Das verwendete Schriftbild kann nach den Feststellungen der Vorinstanz als nüchtern bezeichnet werden und grenzt sich sowohl von der prägnanten "Audi"-Schreibweise wie von den übereinander stehenden Buchstaben "V" und "W" ab. Ob diese Abgrenzung zur Klarstellung des Gegenstands der Werbung erforderlich ist oder der Bezug ausschliesslich auf die Tätigkeit der Beklagten auch auf andere Weise klar herausgehoben werden BGE 128 III 146 S. 152 könnte, sei dahingestellt. Die klägerischen Marken werden jedenfalls in der Weise gebraucht, dass die Adressaten diese Werbung als Anpreisung des eigenen Angebots der Beklagten verstehen. Der Eindruck einer nicht (mehr) vorhandenen Vertragsbeziehung zwischen dieser und den Markeninhaberinnen wird nicht erweckt. Insbesondere weist der Ausdruck "Spezialist" nicht auf eine besondere Vertragsbeziehung zu den Klägerinnen als Markenberechtigte hin. Die Klägerinnen bringen denn auch für ein derartiges Verständnis des Publikums nichts vor. cc) Aufgrund der Feststellungen der Vorinstanz kann nicht angenommen werden, die Beklagte habe den Eindruck erweckt, sie würde statt für ihre eigene Geschäftstätigkeit für die Marken der Klägerinnen werben oder täusche das Publikum über ein nicht vorhandenes Verhältnis zu den Klägerinnen als Markeninhaberinnen. Die Vorinstanz hat eine Täuschung der Adressaten über den Gegenstand der Werbung bundesrechtskonform verneint. Inwiefern im Übrigen für die vorliegend umstrittenen Fragen das Firmenrecht den Klägerinnen gegenüber der Beklagten mehr Rechte verschaffen sollte als Markenrecht und UWG, ist nicht ersichtlich und lässt sich der Berufung der Klägerinnen nicht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